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2E7FF2">
        <w:t>1</w:t>
      </w:r>
      <w:r w:rsidR="009839CD">
        <w:t>3</w:t>
      </w:r>
      <w:r w:rsidR="00E12D47">
        <w:t>5</w:t>
      </w:r>
      <w:r w:rsidR="00A53AF3">
        <w:t>-210</w:t>
      </w:r>
      <w:r w:rsidR="00407BE7">
        <w:t>5</w:t>
      </w:r>
      <w:r w:rsidR="00597B8C">
        <w:t>/202</w:t>
      </w:r>
      <w:r w:rsidR="00E12D47">
        <w:t>4</w:t>
      </w:r>
    </w:p>
    <w:p w:rsidR="00A2306F" w:rsidP="00DE2FE7">
      <w:pPr>
        <w:ind w:firstLine="540"/>
        <w:jc w:val="right"/>
      </w:pPr>
      <w:r w:rsidRPr="00A2306F">
        <w:t>86MS0045-01-2024-000068-24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B76345">
        <w:rPr>
          <w:sz w:val="28"/>
          <w:szCs w:val="28"/>
        </w:rPr>
        <w:t>31 янва</w:t>
      </w:r>
      <w:r w:rsidR="002E7FF2">
        <w:rPr>
          <w:sz w:val="28"/>
          <w:szCs w:val="28"/>
        </w:rPr>
        <w:t>ря 202</w:t>
      </w:r>
      <w:r w:rsidR="00B76345">
        <w:rPr>
          <w:sz w:val="28"/>
          <w:szCs w:val="28"/>
        </w:rPr>
        <w:t>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</w:t>
      </w:r>
      <w:r>
        <w:rPr>
          <w:sz w:val="28"/>
          <w:szCs w:val="28"/>
        </w:rPr>
        <w:t>Т.А. Лаптева</w:t>
      </w:r>
      <w:r w:rsidRPr="008E7F97">
        <w:rPr>
          <w:sz w:val="28"/>
          <w:szCs w:val="28"/>
        </w:rPr>
        <w:t xml:space="preserve">, 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Нижневар</w:t>
      </w:r>
      <w:r w:rsidRPr="008E7F97">
        <w:rPr>
          <w:sz w:val="28"/>
          <w:szCs w:val="28"/>
        </w:rPr>
        <w:t>товск,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9839CD" w:rsidP="00C5576E">
      <w:pPr>
        <w:pStyle w:val="BodyTex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597B8C">
        <w:rPr>
          <w:sz w:val="28"/>
          <w:szCs w:val="28"/>
          <w:lang w:val="ru-RU"/>
        </w:rPr>
        <w:t xml:space="preserve">муниципального </w:t>
      </w:r>
      <w:r w:rsidR="002E7FF2">
        <w:rPr>
          <w:sz w:val="28"/>
          <w:szCs w:val="28"/>
          <w:lang w:val="ru-RU"/>
        </w:rPr>
        <w:t xml:space="preserve">автономного </w:t>
      </w:r>
      <w:r w:rsidR="00597B8C">
        <w:rPr>
          <w:sz w:val="28"/>
          <w:szCs w:val="28"/>
          <w:lang w:val="ru-RU"/>
        </w:rPr>
        <w:t xml:space="preserve">учреждения </w:t>
      </w:r>
      <w:r w:rsidR="002E7FF2">
        <w:rPr>
          <w:sz w:val="28"/>
          <w:szCs w:val="28"/>
          <w:lang w:val="ru-RU"/>
        </w:rPr>
        <w:t xml:space="preserve">дополнительного образования города Нижневартовска </w:t>
      </w:r>
      <w:r w:rsidR="00597B8C">
        <w:rPr>
          <w:sz w:val="28"/>
          <w:szCs w:val="28"/>
          <w:lang w:val="ru-RU"/>
        </w:rPr>
        <w:t>«</w:t>
      </w:r>
      <w:r w:rsidR="002E7FF2">
        <w:rPr>
          <w:sz w:val="28"/>
          <w:szCs w:val="28"/>
          <w:lang w:val="ru-RU"/>
        </w:rPr>
        <w:t>Детская музыкальная школа имени Юрия Дмитриевича Кузнецова</w:t>
      </w:r>
      <w:r w:rsidR="00597B8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Фетисовой Юлии Владимировны</w:t>
      </w:r>
      <w:r w:rsidR="00407BE7">
        <w:rPr>
          <w:sz w:val="28"/>
          <w:szCs w:val="28"/>
          <w:lang w:val="ru-RU"/>
        </w:rPr>
        <w:t xml:space="preserve">, </w:t>
      </w:r>
      <w:r w:rsidR="00CE6741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 года рождения, уроженки </w:t>
      </w:r>
      <w:r w:rsidR="00CE6741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зарегистрированной по адресу: </w:t>
      </w:r>
      <w:r w:rsidR="00CE6741">
        <w:rPr>
          <w:sz w:val="28"/>
          <w:szCs w:val="28"/>
          <w:lang w:val="ru-RU"/>
        </w:rPr>
        <w:t>*****</w:t>
      </w:r>
      <w:r>
        <w:rPr>
          <w:sz w:val="28"/>
          <w:szCs w:val="28"/>
          <w:lang w:val="ru-RU"/>
        </w:rPr>
        <w:t xml:space="preserve">, паспорт: </w:t>
      </w:r>
      <w:r w:rsidR="00CE6741">
        <w:rPr>
          <w:sz w:val="28"/>
          <w:szCs w:val="28"/>
          <w:lang w:val="ru-RU"/>
        </w:rPr>
        <w:t>****</w:t>
      </w:r>
      <w:r>
        <w:rPr>
          <w:sz w:val="28"/>
          <w:szCs w:val="28"/>
          <w:lang w:val="ru-RU"/>
        </w:rPr>
        <w:t xml:space="preserve">, </w:t>
      </w:r>
    </w:p>
    <w:p w:rsidR="00C5576E" w:rsidP="00C5576E">
      <w:pPr>
        <w:suppressAutoHyphens/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УСТАНОВИЛ:</w:t>
      </w:r>
    </w:p>
    <w:p w:rsidR="004E75BD" w:rsidP="00C5576E">
      <w:pPr>
        <w:suppressAutoHyphens/>
        <w:jc w:val="center"/>
        <w:rPr>
          <w:sz w:val="28"/>
          <w:szCs w:val="28"/>
        </w:rPr>
      </w:pPr>
    </w:p>
    <w:p w:rsidR="002B6782" w:rsidP="002B6782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Фетисов</w:t>
      </w:r>
      <w:r w:rsidR="00FD407C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Ю.В., являющ</w:t>
      </w:r>
      <w:r w:rsidR="00FD407C">
        <w:rPr>
          <w:sz w:val="28"/>
          <w:szCs w:val="28"/>
          <w:lang w:val="ru-RU"/>
        </w:rPr>
        <w:t>ейся</w:t>
      </w:r>
      <w:r w:rsidR="00E12D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директором м</w:t>
      </w:r>
      <w:r w:rsidR="00597B8C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ого</w:t>
      </w:r>
      <w:r w:rsidR="00597B8C">
        <w:rPr>
          <w:sz w:val="28"/>
          <w:szCs w:val="28"/>
          <w:lang w:val="ru-RU"/>
        </w:rPr>
        <w:t xml:space="preserve"> </w:t>
      </w:r>
      <w:r w:rsidR="003231FA">
        <w:rPr>
          <w:sz w:val="28"/>
          <w:szCs w:val="28"/>
          <w:lang w:val="ru-RU"/>
        </w:rPr>
        <w:t>автономн</w:t>
      </w:r>
      <w:r>
        <w:rPr>
          <w:sz w:val="28"/>
          <w:szCs w:val="28"/>
          <w:lang w:val="ru-RU"/>
        </w:rPr>
        <w:t>ого</w:t>
      </w:r>
      <w:r w:rsidR="003231FA">
        <w:rPr>
          <w:sz w:val="28"/>
          <w:szCs w:val="28"/>
          <w:lang w:val="ru-RU"/>
        </w:rPr>
        <w:t xml:space="preserve"> учреждения дополнительного образования города Нижневартовска «Детская музыкальная школа имени Юрия Дмитриевича Кузнецова»</w:t>
      </w:r>
      <w:r w:rsidR="00BA5F66">
        <w:rPr>
          <w:sz w:val="28"/>
          <w:szCs w:val="28"/>
          <w:lang w:val="ru-RU"/>
        </w:rPr>
        <w:t xml:space="preserve"> </w:t>
      </w:r>
      <w:r w:rsidR="00597B8C">
        <w:rPr>
          <w:sz w:val="28"/>
          <w:szCs w:val="28"/>
          <w:lang w:val="ru-RU"/>
        </w:rPr>
        <w:t xml:space="preserve">(далее по тексту – </w:t>
      </w:r>
      <w:r w:rsidR="00762279">
        <w:rPr>
          <w:sz w:val="28"/>
          <w:szCs w:val="28"/>
          <w:lang w:val="ru-RU"/>
        </w:rPr>
        <w:t>Учреждение</w:t>
      </w:r>
      <w:r w:rsidR="00597B8C">
        <w:rPr>
          <w:sz w:val="28"/>
          <w:szCs w:val="28"/>
          <w:lang w:val="ru-RU"/>
        </w:rPr>
        <w:t xml:space="preserve">) </w:t>
      </w:r>
      <w:r w:rsidRPr="00762279" w:rsidR="00762279">
        <w:rPr>
          <w:sz w:val="28"/>
          <w:szCs w:val="28"/>
          <w:lang w:val="ru-RU"/>
        </w:rPr>
        <w:t>в течение рабочего времени с 09-00 час</w:t>
      </w:r>
      <w:r w:rsidR="00E12D47">
        <w:rPr>
          <w:sz w:val="28"/>
          <w:szCs w:val="28"/>
          <w:lang w:val="ru-RU"/>
        </w:rPr>
        <w:t>ов до 18-00 часов 05.05.2023, 16.05.2023,22.05</w:t>
      </w:r>
      <w:r w:rsidRPr="00762279" w:rsidR="00762279">
        <w:rPr>
          <w:sz w:val="28"/>
          <w:szCs w:val="28"/>
          <w:lang w:val="ru-RU"/>
        </w:rPr>
        <w:t>.2023, 2</w:t>
      </w:r>
      <w:r w:rsidR="00E12D47">
        <w:rPr>
          <w:sz w:val="28"/>
          <w:szCs w:val="28"/>
          <w:lang w:val="ru-RU"/>
        </w:rPr>
        <w:t>6.05.2023, 30</w:t>
      </w:r>
      <w:r w:rsidRPr="00762279" w:rsidR="00762279">
        <w:rPr>
          <w:sz w:val="28"/>
          <w:szCs w:val="28"/>
          <w:lang w:val="ru-RU"/>
        </w:rPr>
        <w:t>.0</w:t>
      </w:r>
      <w:r w:rsidR="00E12D47">
        <w:rPr>
          <w:sz w:val="28"/>
          <w:szCs w:val="28"/>
          <w:lang w:val="ru-RU"/>
        </w:rPr>
        <w:t xml:space="preserve">5.2023, </w:t>
      </w:r>
      <w:r w:rsidRPr="00762279" w:rsidR="00762279">
        <w:rPr>
          <w:sz w:val="28"/>
          <w:szCs w:val="28"/>
          <w:lang w:val="ru-RU"/>
        </w:rPr>
        <w:t>0</w:t>
      </w:r>
      <w:r w:rsidR="00E12D47">
        <w:rPr>
          <w:sz w:val="28"/>
          <w:szCs w:val="28"/>
          <w:lang w:val="ru-RU"/>
        </w:rPr>
        <w:t>7.06</w:t>
      </w:r>
      <w:r w:rsidRPr="00762279" w:rsidR="00762279">
        <w:rPr>
          <w:sz w:val="28"/>
          <w:szCs w:val="28"/>
          <w:lang w:val="ru-RU"/>
        </w:rPr>
        <w:t>.2023, 27.0</w:t>
      </w:r>
      <w:r w:rsidR="00E12D47">
        <w:rPr>
          <w:sz w:val="28"/>
          <w:szCs w:val="28"/>
          <w:lang w:val="ru-RU"/>
        </w:rPr>
        <w:t>6</w:t>
      </w:r>
      <w:r w:rsidRPr="00762279" w:rsidR="00762279">
        <w:rPr>
          <w:sz w:val="28"/>
          <w:szCs w:val="28"/>
          <w:lang w:val="ru-RU"/>
        </w:rPr>
        <w:t xml:space="preserve">.2023 по адресу: город Нижневартовск, улица Спортивная, дом 3, допущено нецелевое использование бюджетных средств, выразившееся в направлении полученных из бюджета города Нижневартовска средств субсидии, предоставленной на финансовое обеспечение выполнения муниципального задания на оказание муниципальных услуг (выполнение работ) на 2023 год, на цели, не соответствующие целям, предусмотренным в соглашении № </w:t>
      </w:r>
      <w:r w:rsidR="00CE6741">
        <w:rPr>
          <w:sz w:val="28"/>
          <w:szCs w:val="28"/>
          <w:lang w:val="ru-RU"/>
        </w:rPr>
        <w:t>****</w:t>
      </w:r>
      <w:r w:rsidR="00286F7D">
        <w:rPr>
          <w:sz w:val="28"/>
          <w:szCs w:val="28"/>
          <w:lang w:val="ru-RU"/>
        </w:rPr>
        <w:t xml:space="preserve"> от </w:t>
      </w:r>
      <w:r w:rsidR="00CE6741">
        <w:rPr>
          <w:sz w:val="28"/>
          <w:szCs w:val="28"/>
          <w:lang w:val="ru-RU"/>
        </w:rPr>
        <w:t>****</w:t>
      </w:r>
      <w:r w:rsidRPr="00762279" w:rsidR="00762279">
        <w:rPr>
          <w:sz w:val="28"/>
          <w:szCs w:val="28"/>
          <w:lang w:val="ru-RU"/>
        </w:rPr>
        <w:t>, на основании которого бюджетные средства были предоставлены, а именно на выплату заработной платы</w:t>
      </w:r>
      <w:r w:rsidR="00E12D47">
        <w:rPr>
          <w:sz w:val="28"/>
          <w:szCs w:val="28"/>
          <w:lang w:val="ru-RU"/>
        </w:rPr>
        <w:t xml:space="preserve"> в сумме отпускных </w:t>
      </w:r>
      <w:r w:rsidR="00B84812">
        <w:rPr>
          <w:sz w:val="28"/>
          <w:szCs w:val="28"/>
          <w:lang w:val="ru-RU"/>
        </w:rPr>
        <w:t xml:space="preserve">отдельным работникам Учреждения  на общую </w:t>
      </w:r>
      <w:r w:rsidRPr="00762279" w:rsidR="00762279">
        <w:rPr>
          <w:sz w:val="28"/>
          <w:szCs w:val="28"/>
          <w:lang w:val="ru-RU"/>
        </w:rPr>
        <w:t>сумм</w:t>
      </w:r>
      <w:r w:rsidR="00B84812">
        <w:rPr>
          <w:sz w:val="28"/>
          <w:szCs w:val="28"/>
          <w:lang w:val="ru-RU"/>
        </w:rPr>
        <w:t>у</w:t>
      </w:r>
      <w:r w:rsidRPr="00762279" w:rsidR="00762279">
        <w:rPr>
          <w:sz w:val="28"/>
          <w:szCs w:val="28"/>
          <w:lang w:val="ru-RU"/>
        </w:rPr>
        <w:t xml:space="preserve"> </w:t>
      </w:r>
      <w:r w:rsidR="00B84812">
        <w:rPr>
          <w:sz w:val="28"/>
          <w:szCs w:val="28"/>
          <w:lang w:val="ru-RU"/>
        </w:rPr>
        <w:t>46 749,42</w:t>
      </w:r>
      <w:r w:rsidRPr="00762279" w:rsidR="00762279">
        <w:rPr>
          <w:sz w:val="28"/>
          <w:szCs w:val="28"/>
          <w:lang w:val="ru-RU"/>
        </w:rPr>
        <w:t xml:space="preserve"> рубл</w:t>
      </w:r>
      <w:r w:rsidR="00B84812">
        <w:rPr>
          <w:sz w:val="28"/>
          <w:szCs w:val="28"/>
          <w:lang w:val="ru-RU"/>
        </w:rPr>
        <w:t>ей</w:t>
      </w:r>
      <w:r w:rsidRPr="00762279" w:rsidR="00762279">
        <w:rPr>
          <w:sz w:val="28"/>
          <w:szCs w:val="28"/>
          <w:lang w:val="ru-RU"/>
        </w:rPr>
        <w:t xml:space="preserve"> с учетом НДФЛ и страховых взносов в результате </w:t>
      </w:r>
      <w:r>
        <w:rPr>
          <w:sz w:val="28"/>
          <w:szCs w:val="28"/>
          <w:lang w:val="ru-RU"/>
        </w:rPr>
        <w:t xml:space="preserve">неправомерного учета </w:t>
      </w:r>
      <w:r w:rsidRPr="002B6782">
        <w:rPr>
          <w:sz w:val="28"/>
          <w:szCs w:val="28"/>
          <w:lang w:val="ru-RU"/>
        </w:rPr>
        <w:t>премиальной</w:t>
      </w:r>
      <w:r>
        <w:rPr>
          <w:sz w:val="28"/>
          <w:szCs w:val="28"/>
          <w:lang w:val="ru-RU"/>
        </w:rPr>
        <w:t xml:space="preserve"> выплаты по итогам работы за год пр</w:t>
      </w:r>
      <w:r w:rsidRPr="002B6782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определении среднего </w:t>
      </w:r>
      <w:r w:rsidRPr="002B6782">
        <w:rPr>
          <w:sz w:val="28"/>
          <w:szCs w:val="28"/>
          <w:lang w:val="ru-RU"/>
        </w:rPr>
        <w:t xml:space="preserve">заработка для оплаты отпусков отдельных работников </w:t>
      </w:r>
      <w:r>
        <w:rPr>
          <w:sz w:val="28"/>
          <w:szCs w:val="28"/>
          <w:lang w:val="ru-RU"/>
        </w:rPr>
        <w:t xml:space="preserve">Учреждения не </w:t>
      </w:r>
      <w:r w:rsidRPr="002B6782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опор</w:t>
      </w:r>
      <w:r w:rsidRPr="002B6782">
        <w:rPr>
          <w:sz w:val="28"/>
          <w:szCs w:val="28"/>
          <w:lang w:val="ru-RU"/>
        </w:rPr>
        <w:t>ционально времени, отработанному в расчетном периоде, а исхо</w:t>
      </w:r>
      <w:r>
        <w:rPr>
          <w:sz w:val="28"/>
          <w:szCs w:val="28"/>
          <w:lang w:val="ru-RU"/>
        </w:rPr>
        <w:t>дя из фактически нач</w:t>
      </w:r>
      <w:r w:rsidRPr="002B6782">
        <w:rPr>
          <w:sz w:val="28"/>
          <w:szCs w:val="28"/>
          <w:lang w:val="ru-RU"/>
        </w:rPr>
        <w:t>исленных сумм, в нарушение ст</w:t>
      </w:r>
      <w:r>
        <w:rPr>
          <w:sz w:val="28"/>
          <w:szCs w:val="28"/>
          <w:lang w:val="ru-RU"/>
        </w:rPr>
        <w:t>атьи 139 Трудового кодекса РФ, пункта</w:t>
      </w:r>
      <w:r w:rsidRPr="002B6782">
        <w:rPr>
          <w:sz w:val="28"/>
          <w:szCs w:val="28"/>
          <w:lang w:val="ru-RU"/>
        </w:rPr>
        <w:t xml:space="preserve"> 15 Положения об особенностях порядка и</w:t>
      </w:r>
      <w:r w:rsidRPr="002B6782">
        <w:rPr>
          <w:sz w:val="28"/>
          <w:szCs w:val="28"/>
          <w:lang w:val="ru-RU"/>
        </w:rPr>
        <w:t>счисления средней за</w:t>
      </w:r>
      <w:r>
        <w:rPr>
          <w:sz w:val="28"/>
          <w:szCs w:val="28"/>
          <w:lang w:val="ru-RU"/>
        </w:rPr>
        <w:t>работной платы, утве</w:t>
      </w:r>
      <w:r w:rsidR="00B76345">
        <w:rPr>
          <w:sz w:val="28"/>
          <w:szCs w:val="28"/>
          <w:lang w:val="ru-RU"/>
        </w:rPr>
        <w:t>ржденного п</w:t>
      </w:r>
      <w:r w:rsidRPr="002B6782">
        <w:rPr>
          <w:sz w:val="28"/>
          <w:szCs w:val="28"/>
          <w:lang w:val="ru-RU"/>
        </w:rPr>
        <w:t>остановлением Прав</w:t>
      </w:r>
      <w:r>
        <w:rPr>
          <w:sz w:val="28"/>
          <w:szCs w:val="28"/>
          <w:lang w:val="ru-RU"/>
        </w:rPr>
        <w:t>ительства Российской Федерации от 24.12.2007 № 922.</w:t>
      </w:r>
    </w:p>
    <w:p w:rsidR="00762279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судебном заседании представитель а</w:t>
      </w:r>
      <w:r w:rsidR="001A3088">
        <w:rPr>
          <w:sz w:val="28"/>
          <w:szCs w:val="28"/>
          <w:lang w:val="ru-RU"/>
        </w:rPr>
        <w:t xml:space="preserve">дминистративного органа </w:t>
      </w:r>
      <w:r w:rsidR="00CE6741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настаивала на обстоятельствах, изложенных в протоколе об адми</w:t>
      </w:r>
      <w:r>
        <w:rPr>
          <w:sz w:val="28"/>
          <w:szCs w:val="28"/>
          <w:lang w:val="ru-RU"/>
        </w:rPr>
        <w:t xml:space="preserve">нистративном правонарушении.  </w:t>
      </w:r>
    </w:p>
    <w:p w:rsidR="00E63FD2" w:rsidP="00E63FD2">
      <w:pPr>
        <w:pStyle w:val="BodyTextIndent"/>
        <w:rPr>
          <w:sz w:val="28"/>
          <w:szCs w:val="28"/>
          <w:lang w:val="ru-RU"/>
        </w:rPr>
      </w:pPr>
      <w:r>
        <w:rPr>
          <w:sz w:val="28"/>
        </w:rPr>
        <w:t xml:space="preserve">Фетисова Ю.В. при </w:t>
      </w:r>
      <w:r w:rsidR="009839CD">
        <w:rPr>
          <w:sz w:val="28"/>
        </w:rPr>
        <w:t xml:space="preserve"> </w:t>
      </w:r>
      <w:r w:rsidRPr="008E7F97" w:rsidR="00C5576E">
        <w:rPr>
          <w:sz w:val="28"/>
        </w:rPr>
        <w:t>рассмотрени</w:t>
      </w:r>
      <w:r>
        <w:rPr>
          <w:sz w:val="28"/>
        </w:rPr>
        <w:t>и</w:t>
      </w:r>
      <w:r w:rsidRPr="008E7F97" w:rsidR="00C5576E">
        <w:rPr>
          <w:sz w:val="28"/>
        </w:rPr>
        <w:t xml:space="preserve"> </w:t>
      </w:r>
      <w:r w:rsidR="00C5576E">
        <w:rPr>
          <w:sz w:val="28"/>
        </w:rPr>
        <w:t xml:space="preserve">дела об </w:t>
      </w:r>
      <w:r w:rsidRPr="008E7F97" w:rsidR="00C5576E">
        <w:rPr>
          <w:sz w:val="28"/>
        </w:rPr>
        <w:t>административно</w:t>
      </w:r>
      <w:r w:rsidR="00C5576E">
        <w:rPr>
          <w:sz w:val="28"/>
        </w:rPr>
        <w:t xml:space="preserve">м правонарушении </w:t>
      </w:r>
      <w:r>
        <w:rPr>
          <w:sz w:val="28"/>
          <w:szCs w:val="28"/>
          <w:lang w:val="ru-RU"/>
        </w:rPr>
        <w:t xml:space="preserve">подтвердила факт нецелевого использования денежных средств юридическим лицом. </w:t>
      </w:r>
    </w:p>
    <w:p w:rsidR="00C5576E" w:rsidP="00E63FD2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8"/>
        </w:rPr>
      </w:pPr>
      <w:r w:rsidRPr="00D04BE9">
        <w:rPr>
          <w:sz w:val="28"/>
        </w:rPr>
        <w:t xml:space="preserve">Мировой судья, </w:t>
      </w:r>
      <w:r w:rsidRPr="00D04BE9" w:rsidR="006869B2">
        <w:rPr>
          <w:sz w:val="28"/>
        </w:rPr>
        <w:t xml:space="preserve">выслушав </w:t>
      </w:r>
      <w:r w:rsidR="005321B6">
        <w:rPr>
          <w:sz w:val="28"/>
        </w:rPr>
        <w:t>представ</w:t>
      </w:r>
      <w:r w:rsidR="009839CD">
        <w:rPr>
          <w:sz w:val="28"/>
        </w:rPr>
        <w:t>ителя административного органа,</w:t>
      </w:r>
      <w:r w:rsidR="005321B6">
        <w:rPr>
          <w:sz w:val="28"/>
        </w:rPr>
        <w:t xml:space="preserve"> </w:t>
      </w:r>
      <w:r w:rsidR="00E63FD2">
        <w:rPr>
          <w:sz w:val="28"/>
        </w:rPr>
        <w:t xml:space="preserve">Фетисову Ю.В., </w:t>
      </w:r>
      <w:r w:rsidRPr="0032200A">
        <w:rPr>
          <w:sz w:val="28"/>
        </w:rPr>
        <w:t xml:space="preserve">изучив материалы дела, приходит к следующему. 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 xml:space="preserve">Контрольно-счетным органом муниципального образования - счетной палатой города Нижневартовска в ходе </w:t>
      </w:r>
      <w:r w:rsidR="001A3088">
        <w:rPr>
          <w:sz w:val="28"/>
          <w:szCs w:val="28"/>
        </w:rPr>
        <w:t>выборочной п</w:t>
      </w:r>
      <w:r w:rsidRPr="008E135A">
        <w:rPr>
          <w:sz w:val="28"/>
          <w:szCs w:val="28"/>
        </w:rPr>
        <w:t>роверк</w:t>
      </w:r>
      <w:r w:rsidR="001A3088">
        <w:rPr>
          <w:sz w:val="28"/>
          <w:szCs w:val="28"/>
        </w:rPr>
        <w:t>и</w:t>
      </w:r>
      <w:r w:rsidRPr="008E135A">
        <w:rPr>
          <w:sz w:val="28"/>
          <w:szCs w:val="28"/>
        </w:rPr>
        <w:t xml:space="preserve"> законности, эффективности и целевого использования средств, полученных из бюджета города в форме субсидий, муниципальным автономным учреждением дополнительного образования города Нижневартовска «Детская музыкальная школа имени Юрия Дмитриевича Кузнецова» </w:t>
      </w:r>
      <w:r w:rsidRPr="008E135A">
        <w:rPr>
          <w:sz w:val="28"/>
          <w:szCs w:val="28"/>
        </w:rPr>
        <w:t xml:space="preserve">выявлен факт нецелевого использования бюджетных средств в сумме </w:t>
      </w:r>
      <w:r w:rsidR="005B1464">
        <w:rPr>
          <w:sz w:val="28"/>
          <w:szCs w:val="28"/>
        </w:rPr>
        <w:t>46 749,42</w:t>
      </w:r>
      <w:r w:rsidRPr="00762279" w:rsidR="005B1464">
        <w:rPr>
          <w:sz w:val="28"/>
          <w:szCs w:val="28"/>
        </w:rPr>
        <w:t xml:space="preserve"> рубл</w:t>
      </w:r>
      <w:r w:rsidR="005B1464">
        <w:rPr>
          <w:sz w:val="28"/>
          <w:szCs w:val="28"/>
        </w:rPr>
        <w:t>ей</w:t>
      </w:r>
      <w:r w:rsidR="001A3088">
        <w:rPr>
          <w:sz w:val="28"/>
          <w:szCs w:val="28"/>
        </w:rPr>
        <w:t>.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Статьей 38 Бюджетного кодекса Российской Федерации (далее - БК РФ) установлено, что принцип адресности и целевого характера бюджетных средств означает, что бюджетные ассигнов</w:t>
      </w:r>
      <w:r w:rsidRPr="008E135A">
        <w:rPr>
          <w:sz w:val="28"/>
          <w:szCs w:val="28"/>
        </w:rPr>
        <w:t xml:space="preserve">ания и лимиты бюджетных обязательств доводятся до конкретных получателей бюджетных средств с указанием цели их использования. </w:t>
      </w:r>
    </w:p>
    <w:p w:rsid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части 1 статьи 306.4 БК РФ нецелевым использованием бюджетных средств признаются направление средств бюджета бюджетн</w:t>
      </w:r>
      <w:r w:rsidRPr="008E135A">
        <w:rPr>
          <w:sz w:val="28"/>
          <w:szCs w:val="28"/>
        </w:rPr>
        <w:t>ой системы</w:t>
      </w:r>
      <w:r w:rsidR="001A3088">
        <w:rPr>
          <w:sz w:val="28"/>
          <w:szCs w:val="28"/>
        </w:rPr>
        <w:t xml:space="preserve"> Российской Федерации и оплата д</w:t>
      </w:r>
      <w:r w:rsidRPr="008E135A">
        <w:rPr>
          <w:sz w:val="28"/>
          <w:szCs w:val="28"/>
        </w:rPr>
        <w:t>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</w:t>
      </w:r>
      <w:r w:rsidRPr="008E135A">
        <w:rPr>
          <w:sz w:val="28"/>
          <w:szCs w:val="28"/>
        </w:rPr>
        <w:t>метой, договором (соглашением) либо правовым актом, являющимся основанием для предоставления указанных средств.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Из содержания части 2 статьи 4 Федерального закона от 03.11.2006 № 174-ФЗ «Об автономных учреждениях» (далее - Закон № 174-ФЗ) следует, что в со</w:t>
      </w:r>
      <w:r w:rsidRPr="008E135A">
        <w:rPr>
          <w:sz w:val="28"/>
          <w:szCs w:val="28"/>
        </w:rPr>
        <w:t xml:space="preserve">ответствии с видами деятельности, отнесенными уставом муниципального автономного учреждения к основной деятельности, учредителем для такого учреждения формируется и утверждается муниципальное задание. </w:t>
      </w:r>
    </w:p>
    <w:p w:rsidR="001A3088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силу части 4 статьи 4 Закона № 174-ФЗ финансовое обе</w:t>
      </w:r>
      <w:r w:rsidRPr="008E135A">
        <w:rPr>
          <w:sz w:val="28"/>
          <w:szCs w:val="28"/>
        </w:rPr>
        <w:t xml:space="preserve">спечение выполнения муниципального задания осуществляется в виде субсидий из бюджетов бюджетной системы Российской Федерации и иных не запрещенных федеральными законами источников.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Согласно абзацу второму пункта 4 статьи 69.2 БК РФ объем финансового обесп</w:t>
      </w:r>
      <w:r w:rsidRPr="008E135A">
        <w:rPr>
          <w:sz w:val="28"/>
          <w:szCs w:val="28"/>
        </w:rPr>
        <w:t>ечения выполнения муниципального задания рассчитывается на основании нормативных затрат на оказание муниципальных услуг, утверждаемых в порядке, установленном местной администрацией.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соответствии с пунктом 3.3 Порядка формирования, финансового обеспечени</w:t>
      </w:r>
      <w:r w:rsidRPr="008E135A">
        <w:rPr>
          <w:sz w:val="28"/>
          <w:szCs w:val="28"/>
        </w:rPr>
        <w:t>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</w:t>
      </w:r>
      <w:r w:rsidRPr="008E135A">
        <w:rPr>
          <w:sz w:val="28"/>
          <w:szCs w:val="28"/>
        </w:rPr>
        <w:t>ального задания, утвержденного постановлением администрации города Нижневартовска от 21.12.2015 № 2291 (далее - Порядок № 2291), нормативные затраты на оказание муниципальной услуги рассчитываются на единицу</w:t>
      </w:r>
      <w:r w:rsidR="001A3088">
        <w:rPr>
          <w:sz w:val="28"/>
          <w:szCs w:val="28"/>
        </w:rPr>
        <w:t xml:space="preserve"> </w:t>
      </w:r>
      <w:r w:rsidRPr="008E135A">
        <w:rPr>
          <w:sz w:val="28"/>
          <w:szCs w:val="28"/>
        </w:rPr>
        <w:t>показателя объема оказания услуги, установленног</w:t>
      </w:r>
      <w:r w:rsidRPr="008E135A">
        <w:rPr>
          <w:sz w:val="28"/>
          <w:szCs w:val="28"/>
        </w:rPr>
        <w:t xml:space="preserve">о в муниципальном задании, на </w:t>
      </w:r>
      <w:r w:rsidRPr="008E135A">
        <w:rPr>
          <w:sz w:val="28"/>
          <w:szCs w:val="28"/>
        </w:rPr>
        <w:t>основе определяемых в соответствии с Порядком № 2291 базового норматива затрат и отраслевых корректирующих коэффициентов к базовым нормативам затрат.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Согласно абзацу второму пункта 3.7 Порядка № 2291 базовый норматив затрат на</w:t>
      </w:r>
      <w:r w:rsidRPr="008E135A">
        <w:rPr>
          <w:sz w:val="28"/>
          <w:szCs w:val="28"/>
        </w:rPr>
        <w:t xml:space="preserve"> оказание муниципальной услуги состоит из базового норматива затрат, непосредственно связанных с оказанием муниципальной услуги. В силу абзаца второго пункта 3.8 Порядка № 2291 в базовый норматив затрат, непосредственно связанных с оказанием муниципальной </w:t>
      </w:r>
      <w:r w:rsidRPr="008E135A">
        <w:rPr>
          <w:sz w:val="28"/>
          <w:szCs w:val="28"/>
        </w:rPr>
        <w:t>услуги, включаются затраты на оплату труда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нормативными правовыми актами, содержащими норм</w:t>
      </w:r>
      <w:r w:rsidRPr="008E135A">
        <w:rPr>
          <w:sz w:val="28"/>
          <w:szCs w:val="28"/>
        </w:rPr>
        <w:t>ы трудового права.</w:t>
      </w:r>
    </w:p>
    <w:p w:rsidR="001A3088" w:rsidP="001A3088">
      <w:pPr>
        <w:pStyle w:val="20"/>
        <w:shd w:val="clear" w:color="auto" w:fill="auto"/>
        <w:tabs>
          <w:tab w:val="left" w:pos="7147"/>
        </w:tabs>
        <w:ind w:firstLine="567"/>
      </w:pPr>
      <w:r>
        <w:rPr>
          <w:rStyle w:val="0pt"/>
          <w:sz w:val="28"/>
          <w:szCs w:val="28"/>
        </w:rPr>
        <w:t xml:space="preserve">28 декабря 2022 года между </w:t>
      </w:r>
      <w:r>
        <w:t>д</w:t>
      </w:r>
      <w:r w:rsidRPr="006A4332">
        <w:t xml:space="preserve">епартаментом </w:t>
      </w:r>
      <w:r>
        <w:t>по социальной политике администрации города Нижневартовска в лице заместителя главы города, директора департамента</w:t>
      </w:r>
      <w:r w:rsidRPr="006A4332">
        <w:t xml:space="preserve"> </w:t>
      </w:r>
      <w:r>
        <w:t>по социальной политике администрации города Нижневартовска и м</w:t>
      </w:r>
      <w:r w:rsidRPr="00BB7BE5">
        <w:t>униципальным автоно</w:t>
      </w:r>
      <w:r w:rsidRPr="00BB7BE5">
        <w:t>мным учреждени</w:t>
      </w:r>
      <w:r>
        <w:t>ем</w:t>
      </w:r>
      <w:r w:rsidRPr="00BB7BE5">
        <w:t xml:space="preserve"> дополнительного образования города Нижневартовска «Детская музыкальная школа имени Юрия Дмитриевича Кузнецова»</w:t>
      </w:r>
      <w:r w:rsidRPr="00A33105">
        <w:t xml:space="preserve"> в соответствии с постановлением администрации города от 21.12.2015 №2291 «Об утверждении порядка формирования, финансового обесп</w:t>
      </w:r>
      <w:r w:rsidRPr="00A33105">
        <w:t>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</w:t>
      </w:r>
      <w:r w:rsidRPr="00A33105">
        <w:t xml:space="preserve">ниципального задания», </w:t>
      </w:r>
      <w:r>
        <w:t>на основании приказа департамента по социальной политике администрации города от 22.12.2022 № 951/42-П «Об утверждении значений базовых нормативов затрат на оказание муниципальных услуг,  значений нормативных затрат на оказание муниц</w:t>
      </w:r>
      <w:r>
        <w:t xml:space="preserve">ипальных услуг, значений нормативных затрат на выполнение работ, </w:t>
      </w:r>
      <w:r w:rsidRPr="00A33105">
        <w:t>муниципальн</w:t>
      </w:r>
      <w:r>
        <w:t>ых учреждений, заключено Соглашение № </w:t>
      </w:r>
      <w:r w:rsidR="00CE6741">
        <w:t>****</w:t>
      </w:r>
      <w:r>
        <w:t xml:space="preserve"> о порядке и условиях предоставления субсидии на финансовое обеспечение </w:t>
      </w:r>
      <w:r w:rsidRPr="00A33105">
        <w:t xml:space="preserve">выполнения муниципального задания на оказание муниципальных </w:t>
      </w:r>
      <w:r w:rsidRPr="00A33105">
        <w:t>услуг (выполнение работ)</w:t>
      </w:r>
      <w:r>
        <w:t xml:space="preserve"> о предоставлении и использовании Учреждением субсидии из бюджета города на финансовое обеспечение </w:t>
      </w:r>
      <w:r w:rsidRPr="00A33105">
        <w:t>выполнения муниципального задания на оказание муниципальных услуг (выполнение работ)</w:t>
      </w:r>
      <w:r>
        <w:t>, установленных в муниципальном задании на 2023 г</w:t>
      </w:r>
      <w:r>
        <w:t>од, 2024 и 2025 годы.</w:t>
      </w:r>
      <w:r w:rsidRPr="00F63C23">
        <w:t xml:space="preserve"> 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135A">
        <w:rPr>
          <w:sz w:val="28"/>
          <w:szCs w:val="28"/>
        </w:rPr>
        <w:t xml:space="preserve"> соответствии с пунктом 3.3.1 </w:t>
      </w:r>
      <w:r>
        <w:rPr>
          <w:sz w:val="28"/>
          <w:szCs w:val="28"/>
        </w:rPr>
        <w:t xml:space="preserve">указанного Соглашения </w:t>
      </w:r>
      <w:r w:rsidRPr="008E135A">
        <w:rPr>
          <w:sz w:val="28"/>
          <w:szCs w:val="28"/>
        </w:rPr>
        <w:t>Учреждение обязуется осуществлять использование субсидии в целях оказания муниципальных услуг (выполнение работ) в соответствии с требованиями к качеству (если данный показатель пр</w:t>
      </w:r>
      <w:r w:rsidRPr="008E135A">
        <w:rPr>
          <w:sz w:val="28"/>
          <w:szCs w:val="28"/>
        </w:rPr>
        <w:t>едусмотрен в муниципальном задании) и объему, порядку оказания муниципальных услуг, определенными в муниципальном задании и в соответствии с утвержденным планом финансово-хозяйственной деятельности на текущий финансовый год.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Пунктом 4 статьи 86 БК РФ преду</w:t>
      </w:r>
      <w:r w:rsidRPr="008E135A">
        <w:rPr>
          <w:sz w:val="28"/>
          <w:szCs w:val="28"/>
        </w:rPr>
        <w:t xml:space="preserve">смотрено, что органы местного самоуправления самостоятельно определяют размеры и условия оплаты труда </w:t>
      </w:r>
      <w:r w:rsidRPr="008E135A">
        <w:rPr>
          <w:sz w:val="28"/>
          <w:szCs w:val="28"/>
        </w:rPr>
        <w:t>работников муниципальных учреждений с соблюдением требований, установленных БК РФ. На основании статьи 135 Трудового кодекса Российской Федерации (далее -</w:t>
      </w:r>
      <w:r w:rsidRPr="008E135A">
        <w:rPr>
          <w:sz w:val="28"/>
          <w:szCs w:val="28"/>
        </w:rPr>
        <w:t xml:space="preserve"> ТК РФ) заработная плата работнику устанавливается трудовым договором в соответствии с действующими у данного работодателя системами оплаты труда. Системы оплаты труда, включая размеры тарифных ставок, окладов (должностных окладов), доплат и надбавок компе</w:t>
      </w:r>
      <w:r w:rsidRPr="008E135A">
        <w:rPr>
          <w:sz w:val="28"/>
          <w:szCs w:val="28"/>
        </w:rPr>
        <w:t>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</w:t>
      </w:r>
      <w:r w:rsidRPr="008E135A">
        <w:rPr>
          <w:sz w:val="28"/>
          <w:szCs w:val="28"/>
        </w:rPr>
        <w:t>тствии с трудовым законодательством и иными нормативными правовыми актами, содержащими нормы трудового права.</w:t>
      </w:r>
    </w:p>
    <w:p w:rsidR="008E135A" w:rsidRPr="008E135A" w:rsidP="008E135A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В силу абзаца четвертого статьи 144 ТК РФ системы оплаты труда работников муниципальных учреждений устанавливаются коллективными договорами, согла</w:t>
      </w:r>
      <w:r w:rsidRPr="008E135A">
        <w:rPr>
          <w:sz w:val="28"/>
          <w:szCs w:val="28"/>
        </w:rPr>
        <w:t>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 нормативными правовыми актами органо</w:t>
      </w:r>
      <w:r w:rsidRPr="008E135A">
        <w:rPr>
          <w:sz w:val="28"/>
          <w:szCs w:val="28"/>
        </w:rPr>
        <w:t>в местного самоуправления.</w:t>
      </w:r>
    </w:p>
    <w:p w:rsidR="001A3088" w:rsidP="001A3088">
      <w:pPr>
        <w:ind w:firstLine="540"/>
        <w:jc w:val="both"/>
        <w:rPr>
          <w:sz w:val="28"/>
          <w:szCs w:val="28"/>
        </w:rPr>
      </w:pPr>
      <w:r w:rsidRPr="008E135A">
        <w:rPr>
          <w:sz w:val="28"/>
          <w:szCs w:val="28"/>
        </w:rPr>
        <w:t>На основании абзаца второго пункта 3 статьи 43 Устава города Нижневартовска, утвержденного решением Думы города Нижневартовска от 20.06.2005 № 502, размеры и условия оплаты труда руководителей муниципальных предприятий и работник</w:t>
      </w:r>
      <w:r w:rsidRPr="008E135A">
        <w:rPr>
          <w:sz w:val="28"/>
          <w:szCs w:val="28"/>
        </w:rPr>
        <w:t>ов муниципальных учреждений устанавливаются постановлением администрации города. Рассматриваемые правоотношения призвано урегулировать постановление администрации города Нижневартовска от 09.04.2019 №249 «Об утверждении Положения о системе оплаты труда раб</w:t>
      </w:r>
      <w:r w:rsidRPr="008E135A">
        <w:rPr>
          <w:sz w:val="28"/>
          <w:szCs w:val="28"/>
        </w:rPr>
        <w:t>отников муниципальных учреждений дополнительного образования (музыкальная школа, школы искусств), подведомственных департаменту по социальной политике администрации города» (далее - Положение № 249), в соответствии с которым в силу требований статьи 144 ТК</w:t>
      </w:r>
      <w:r w:rsidRPr="008E135A">
        <w:rPr>
          <w:sz w:val="28"/>
          <w:szCs w:val="28"/>
        </w:rPr>
        <w:t xml:space="preserve"> РФ Учреждением сформирована система оплаты труда работников.</w:t>
      </w:r>
      <w:r>
        <w:rPr>
          <w:sz w:val="28"/>
          <w:szCs w:val="28"/>
        </w:rPr>
        <w:t xml:space="preserve"> </w:t>
      </w:r>
    </w:p>
    <w:p w:rsidR="001A3088" w:rsidP="001A3088">
      <w:pPr>
        <w:ind w:firstLine="540"/>
        <w:jc w:val="both"/>
        <w:rPr>
          <w:sz w:val="28"/>
          <w:szCs w:val="28"/>
        </w:rPr>
      </w:pPr>
      <w:r w:rsidRPr="0071127C">
        <w:rPr>
          <w:sz w:val="28"/>
          <w:szCs w:val="28"/>
        </w:rPr>
        <w:t xml:space="preserve">Учреждению в 2023 году на основании соглашения № </w:t>
      </w:r>
      <w:r w:rsidR="00CE6741">
        <w:rPr>
          <w:sz w:val="28"/>
          <w:szCs w:val="28"/>
        </w:rPr>
        <w:t>****</w:t>
      </w:r>
      <w:r w:rsidRPr="0071127C">
        <w:rPr>
          <w:sz w:val="28"/>
          <w:szCs w:val="28"/>
        </w:rPr>
        <w:t xml:space="preserve"> в рамках субсидии на финансовое обеспечение выполнения муниципального</w:t>
      </w:r>
      <w:r>
        <w:rPr>
          <w:sz w:val="28"/>
          <w:szCs w:val="28"/>
        </w:rPr>
        <w:t xml:space="preserve"> з</w:t>
      </w:r>
      <w:r w:rsidRPr="0071127C">
        <w:rPr>
          <w:sz w:val="28"/>
          <w:szCs w:val="28"/>
        </w:rPr>
        <w:t xml:space="preserve">адания предоставлены средства на осуществление оплаты труда </w:t>
      </w:r>
      <w:r w:rsidRPr="0071127C">
        <w:rPr>
          <w:sz w:val="28"/>
          <w:szCs w:val="28"/>
        </w:rPr>
        <w:t>работников в четком соответствии с требованиями Положения № 249.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статьи 114 ТК РФ работникам предоставляются ежегодные отпуска с сохранением места работы (должности) и среднего заработка.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В силу статьи 139 ТК РФ для расчета средней заработной </w:t>
      </w:r>
      <w:r w:rsidRPr="00D33ECD">
        <w:rPr>
          <w:sz w:val="28"/>
          <w:szCs w:val="28"/>
        </w:rPr>
        <w:t xml:space="preserve">платы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 Для всех случаев определения размера средней заработной платы (среднего заработка), предусмотренных </w:t>
      </w:r>
      <w:r w:rsidRPr="00D33ECD">
        <w:rPr>
          <w:sz w:val="28"/>
          <w:szCs w:val="28"/>
        </w:rPr>
        <w:t>ТК РФ, устанавливается единый порядок ее исчисления, определяемый Правительством Российской Федерации.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Положение об особенностях порядка исчисления средн</w:t>
      </w:r>
      <w:r w:rsidR="00B76345">
        <w:rPr>
          <w:sz w:val="28"/>
          <w:szCs w:val="28"/>
        </w:rPr>
        <w:t>ей заработной платы утверждено п</w:t>
      </w:r>
      <w:r w:rsidRPr="00D33ECD">
        <w:rPr>
          <w:sz w:val="28"/>
          <w:szCs w:val="28"/>
        </w:rPr>
        <w:t>остановлением Правительства Российской Федерации от 24.12.2007 №922 (да</w:t>
      </w:r>
      <w:r w:rsidRPr="00D33ECD">
        <w:rPr>
          <w:sz w:val="28"/>
          <w:szCs w:val="28"/>
        </w:rPr>
        <w:t>лее - Положение № 922).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подпункта «н» пункта 2 Положения № 922 для расчета среднего заработка учитываются в том числе премии и вознаграждения, предусмотренные системой оплаты труда.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При этом в соответствии с пунктом 15 Положения № 922 при опре</w:t>
      </w:r>
      <w:r w:rsidRPr="00D33ECD">
        <w:rPr>
          <w:sz w:val="28"/>
          <w:szCs w:val="28"/>
        </w:rPr>
        <w:t>делении среднего заработка вознаграждение по итогам работы за год, начисленное за предшествующий событию календарный год, учитывается независимо от времени начисления вознаграждения. В случае если время, приходящееся на расчетный период, отработано не полн</w:t>
      </w:r>
      <w:r w:rsidRPr="00D33ECD">
        <w:rPr>
          <w:sz w:val="28"/>
          <w:szCs w:val="28"/>
        </w:rPr>
        <w:t>остью или из него исключалось время в соответствии с пунктом 5 Положения № 922, премии и вознаграждения учитываются при определении среднего заработка пропорционально времени, отработанному в расчетном периоде, за исключением премий, начисленных за фактиче</w:t>
      </w:r>
      <w:r w:rsidRPr="00D33ECD">
        <w:rPr>
          <w:sz w:val="28"/>
          <w:szCs w:val="28"/>
        </w:rPr>
        <w:t>ски отработанное время в расчетном периоде (ежемесячные, ежеквартальные и др.).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Пунктом 5 Положения № 922 установлено, что при исчислении среднего заработка из расчетного периода исключается время, а также начисленные за это время суммы, в том числе если </w:t>
      </w:r>
      <w:r w:rsidRPr="00D33ECD">
        <w:rPr>
          <w:sz w:val="28"/>
          <w:szCs w:val="28"/>
        </w:rPr>
        <w:t>за работником сохранялся средний заработок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 (подпункт «а»).</w:t>
      </w:r>
    </w:p>
    <w:p w:rsidR="00B76345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Пунктом 4.1 Положения № 249 </w:t>
      </w:r>
      <w:r w:rsidRPr="00D33ECD">
        <w:rPr>
          <w:sz w:val="28"/>
          <w:szCs w:val="28"/>
        </w:rPr>
        <w:t xml:space="preserve">к стимулирующим выплатам работникам Учреждения отнесены в том числе премиальные выплаты по итогам работы за год. 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Абзацем третьим подпункта 4.6.3 пункта 4.6 Положения № 249 установлено, что премиальная выплата по итогам работы за год производится работника</w:t>
      </w:r>
      <w:r w:rsidRPr="00D33ECD">
        <w:rPr>
          <w:sz w:val="28"/>
          <w:szCs w:val="28"/>
        </w:rPr>
        <w:t>м за фактически отработанное время в календарном году. В отработанное время в календарном году для расчета премии по итогам работы за год включается время работы по табелю учета рабочего времени, дни нахождения в служебной командировке, на профессиональной</w:t>
      </w:r>
      <w:r w:rsidRPr="00D33ECD">
        <w:rPr>
          <w:sz w:val="28"/>
          <w:szCs w:val="28"/>
        </w:rPr>
        <w:t xml:space="preserve">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ежегодном оплачиваемом отпуске.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Таким образом, Положением № 249 регламентировано, </w:t>
      </w:r>
      <w:r w:rsidRPr="00D33ECD">
        <w:rPr>
          <w:sz w:val="28"/>
          <w:szCs w:val="28"/>
        </w:rPr>
        <w:t>что при исчислении премиальной выплаты по итогам работы за год в том числе учитывается время нахождения работника в служебной командировке и ежегодном оплачиваемом отпуске, заработная плата за которые рассчитывается на основании среднего заработка в силу с</w:t>
      </w:r>
      <w:r w:rsidRPr="00D33ECD">
        <w:rPr>
          <w:sz w:val="28"/>
          <w:szCs w:val="28"/>
        </w:rPr>
        <w:t>татей 114, 167 ТК РФ, пункта 9 Положения № 922.</w:t>
      </w:r>
    </w:p>
    <w:p w:rsid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Исходя из изложенного, учитывая требования пункта 15 Положения № 922, при определении среднего заработка для оплаты отпусков работников Учреждения премиальную выплату по итогам работы за год следует учитывать</w:t>
      </w:r>
      <w:r w:rsidRPr="00D33ECD">
        <w:rPr>
          <w:sz w:val="28"/>
          <w:szCs w:val="28"/>
        </w:rPr>
        <w:t xml:space="preserve"> пропорционально времени, отработанному в расчетном периоде.</w:t>
      </w:r>
    </w:p>
    <w:p w:rsidR="005B1464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приказа МАУДО «ДМШ» «О премиальной выплате по итогам работы за год» от</w:t>
      </w:r>
      <w:r>
        <w:rPr>
          <w:sz w:val="28"/>
          <w:szCs w:val="28"/>
        </w:rPr>
        <w:t xml:space="preserve"> 26.12.2022 № 240-П работникам Учреждения произведена </w:t>
      </w:r>
      <w:r>
        <w:rPr>
          <w:sz w:val="28"/>
          <w:szCs w:val="28"/>
        </w:rPr>
        <w:t xml:space="preserve">выплата по итогам работы за 2022 год, в </w:t>
      </w:r>
      <w:r w:rsidRPr="00D33ECD">
        <w:rPr>
          <w:sz w:val="28"/>
          <w:szCs w:val="28"/>
        </w:rPr>
        <w:t xml:space="preserve">которые </w:t>
      </w:r>
      <w:r w:rsidRPr="00D33ECD">
        <w:rPr>
          <w:color w:val="000000"/>
          <w:sz w:val="28"/>
          <w:szCs w:val="28"/>
        </w:rPr>
        <w:t>включены в</w:t>
      </w:r>
      <w:r w:rsidRPr="00D33ECD">
        <w:rPr>
          <w:color w:val="000000"/>
          <w:sz w:val="28"/>
          <w:szCs w:val="28"/>
        </w:rPr>
        <w:t>ремя работы, а также периоды нахождения работников в отпуске и командировке, за которые предусмотрена оплата по</w:t>
      </w:r>
      <w:r>
        <w:rPr>
          <w:color w:val="000000"/>
          <w:sz w:val="28"/>
          <w:szCs w:val="28"/>
        </w:rPr>
        <w:t xml:space="preserve"> среднему заработку, согласно приложению № 1 к приказу. </w:t>
      </w:r>
    </w:p>
    <w:p w:rsidR="00D33ECD" w:rsidRP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На основании приказов (распоряжений) о предоставлении отпуска работнику Учреждением пред</w:t>
      </w:r>
      <w:r w:rsidRPr="00D33ECD">
        <w:rPr>
          <w:sz w:val="28"/>
          <w:szCs w:val="28"/>
        </w:rPr>
        <w:t>оставлены</w:t>
      </w:r>
      <w:r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ежегодные оплачиваемые отпуска 18 работникам согласно перечню, приведенному в</w:t>
      </w:r>
      <w:r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приложении № 2 к акту контрольного мероприятия. К каждому приказу (распоряжению) о</w:t>
      </w:r>
      <w:r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предоставлении отпуска работнику приложен первичный документ «Расчет по среднему»,</w:t>
      </w:r>
      <w:r w:rsidR="00C179C3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 xml:space="preserve">в </w:t>
      </w:r>
      <w:r w:rsidRPr="00D33ECD">
        <w:rPr>
          <w:sz w:val="28"/>
          <w:szCs w:val="28"/>
        </w:rPr>
        <w:t xml:space="preserve">котором произведен расчет среднего заработка для оплаты очередного отпуска, а также </w:t>
      </w:r>
      <w:r w:rsidR="00C179C3">
        <w:rPr>
          <w:sz w:val="28"/>
          <w:szCs w:val="28"/>
        </w:rPr>
        <w:t>о</w:t>
      </w:r>
      <w:r w:rsidRPr="00D33ECD">
        <w:rPr>
          <w:sz w:val="28"/>
          <w:szCs w:val="28"/>
        </w:rPr>
        <w:t>тражены суммы отпускных каждого конкретного работника.</w:t>
      </w:r>
    </w:p>
    <w:p w:rsidR="00D33ECD" w:rsidP="00D33ECD">
      <w:pPr>
        <w:ind w:firstLine="540"/>
        <w:jc w:val="both"/>
        <w:rPr>
          <w:sz w:val="28"/>
          <w:szCs w:val="28"/>
        </w:rPr>
      </w:pPr>
      <w:r w:rsidRPr="00D33ECD">
        <w:rPr>
          <w:sz w:val="28"/>
          <w:szCs w:val="28"/>
        </w:rPr>
        <w:t>Согласно</w:t>
      </w:r>
      <w:r w:rsidRPr="00D33ECD">
        <w:rPr>
          <w:sz w:val="28"/>
          <w:szCs w:val="28"/>
        </w:rPr>
        <w:tab/>
        <w:t>данным</w:t>
      </w:r>
      <w:r w:rsidRPr="00D33ECD">
        <w:rPr>
          <w:sz w:val="28"/>
          <w:szCs w:val="28"/>
        </w:rPr>
        <w:tab/>
        <w:t>первичных</w:t>
      </w:r>
      <w:r w:rsidRPr="00D33ECD">
        <w:rPr>
          <w:sz w:val="28"/>
          <w:szCs w:val="28"/>
        </w:rPr>
        <w:tab/>
        <w:t>документов</w:t>
      </w:r>
      <w:r w:rsidR="001D1B0F">
        <w:rPr>
          <w:sz w:val="28"/>
          <w:szCs w:val="28"/>
        </w:rPr>
        <w:t xml:space="preserve"> «Расчет </w:t>
      </w:r>
      <w:r w:rsidRPr="00D33ECD">
        <w:rPr>
          <w:sz w:val="28"/>
          <w:szCs w:val="28"/>
        </w:rPr>
        <w:t>по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среднему»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МАУДО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«ДМШ»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в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нарушение статьи 139 ТК РФ, пункта 15 Положе</w:t>
      </w:r>
      <w:r w:rsidRPr="00D33ECD">
        <w:rPr>
          <w:sz w:val="28"/>
          <w:szCs w:val="28"/>
        </w:rPr>
        <w:t>ния №922 при определении среднего заработка для оплаты отпусков 18 работников, указанным в перечне, приведенном в</w:t>
      </w:r>
      <w:r w:rsidR="001D1B0F">
        <w:rPr>
          <w:sz w:val="28"/>
          <w:szCs w:val="28"/>
        </w:rPr>
        <w:t xml:space="preserve"> п</w:t>
      </w:r>
      <w:r w:rsidRPr="00D33ECD">
        <w:rPr>
          <w:sz w:val="28"/>
          <w:szCs w:val="28"/>
        </w:rPr>
        <w:t>риложении № 2 к акту контрольного мероприятия, Учреждением премиальная выплата по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итогам работы за год учтена не пропорционально времени, отр</w:t>
      </w:r>
      <w:r w:rsidRPr="00D33ECD">
        <w:rPr>
          <w:sz w:val="28"/>
          <w:szCs w:val="28"/>
        </w:rPr>
        <w:t>аботанному в расчетном периоде, а в фактическом размере начисленных сумм за время работы, а также за периоды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нахождения работников в отпуске и командировке, за которые предусмотрена оплата по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среднему заработку, что повлекло неправомерное начисление зарабо</w:t>
      </w:r>
      <w:r w:rsidRPr="00D33ECD">
        <w:rPr>
          <w:sz w:val="28"/>
          <w:szCs w:val="28"/>
        </w:rPr>
        <w:t>тной платы в сумме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отпускных работникам Учреждения на общую сумму 35 927,93 рубля с учетом налога на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доходы физических лиц (далее - НДФЛ), страховые взносы на заработную плату составили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 xml:space="preserve">10 821,49 рубля. Перечень платежных поручений, на основании которых </w:t>
      </w:r>
      <w:r w:rsidRPr="00D33ECD">
        <w:rPr>
          <w:sz w:val="28"/>
          <w:szCs w:val="28"/>
        </w:rPr>
        <w:t>Учреждением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осуществлено перечисление отпускных, НДФЛ и страховых взносов работникам, приведен</w:t>
      </w:r>
      <w:r w:rsidR="001D1B0F">
        <w:rPr>
          <w:sz w:val="28"/>
          <w:szCs w:val="28"/>
        </w:rPr>
        <w:t xml:space="preserve"> </w:t>
      </w:r>
      <w:r w:rsidRPr="00D33ECD">
        <w:rPr>
          <w:sz w:val="28"/>
          <w:szCs w:val="28"/>
        </w:rPr>
        <w:t>в таблице ниже.</w:t>
      </w:r>
    </w:p>
    <w:p w:rsidR="00D33ECD" w:rsidP="00D33EC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358"/>
        <w:gridCol w:w="3888"/>
        <w:gridCol w:w="1320"/>
        <w:gridCol w:w="1546"/>
      </w:tblGrid>
      <w:tr w:rsidTr="00286F7D">
        <w:tblPrEx>
          <w:tblW w:w="0" w:type="auto"/>
          <w:tblInd w:w="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254"/>
        </w:trPr>
        <w:tc>
          <w:tcPr>
            <w:tcW w:w="1267" w:type="dxa"/>
            <w:vMerge w:val="restart"/>
            <w:shd w:val="clear" w:color="auto" w:fill="FFFFFF"/>
          </w:tcPr>
          <w:p w:rsidR="001D1B0F" w:rsidP="001D1B0F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D33ECD" w:rsidRPr="00D33ECD" w:rsidP="001D1B0F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№, дата платежного поручения</w:t>
            </w:r>
          </w:p>
        </w:tc>
        <w:tc>
          <w:tcPr>
            <w:tcW w:w="1358" w:type="dxa"/>
            <w:vMerge w:val="restart"/>
            <w:shd w:val="clear" w:color="auto" w:fill="FFFFFF"/>
          </w:tcPr>
          <w:p w:rsidR="001D1B0F" w:rsidP="001D1B0F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D33ECD" w:rsidRPr="00D33ECD" w:rsidP="001D1B0F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Дата списания средств со счета</w:t>
            </w:r>
          </w:p>
        </w:tc>
        <w:tc>
          <w:tcPr>
            <w:tcW w:w="3888" w:type="dxa"/>
            <w:vMerge w:val="restart"/>
            <w:shd w:val="clear" w:color="auto" w:fill="FFFFFF"/>
          </w:tcPr>
          <w:p w:rsidR="001D1B0F" w:rsidP="001D1B0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1D1B0F" w:rsidP="001D1B0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</w:pPr>
          </w:p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Назначение платежа</w:t>
            </w:r>
          </w:p>
        </w:tc>
        <w:tc>
          <w:tcPr>
            <w:tcW w:w="2866" w:type="dxa"/>
            <w:gridSpan w:val="2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Сумма, рублей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936"/>
        </w:trPr>
        <w:tc>
          <w:tcPr>
            <w:tcW w:w="1267" w:type="dxa"/>
            <w:vMerge/>
            <w:shd w:val="clear" w:color="auto" w:fill="FFFFFF"/>
          </w:tcPr>
          <w:p w:rsidR="00D33ECD" w:rsidRPr="00D33ECD" w:rsidP="00D33EC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D33ECD" w:rsidRPr="00D33ECD" w:rsidP="00D33EC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888" w:type="dxa"/>
            <w:vMerge/>
            <w:shd w:val="clear" w:color="auto" w:fill="FFFFFF"/>
          </w:tcPr>
          <w:p w:rsidR="00D33ECD" w:rsidRPr="00D33ECD" w:rsidP="00D33ECD">
            <w:pPr>
              <w:widowControl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по</w:t>
            </w:r>
          </w:p>
          <w:p w:rsidR="00D33ECD" w:rsidRPr="00D33ECD" w:rsidP="00D33ECD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платежному</w:t>
            </w:r>
          </w:p>
          <w:p w:rsidR="00D33ECD" w:rsidRPr="00D33ECD" w:rsidP="00D33ECD">
            <w:pPr>
              <w:widowControl w:val="0"/>
              <w:spacing w:line="23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поручению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D33ECD">
            <w:pPr>
              <w:widowControl w:val="0"/>
              <w:spacing w:line="233" w:lineRule="exact"/>
              <w:ind w:left="220" w:firstLine="460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из них использовано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не целевому назначению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8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5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279 от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05.05.2023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05.05.2023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66 от 10.05.2023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184 714,94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5 465,88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276 от 16.05.2023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16.05.2023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71 от 16.05.2023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108 904,07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1 104,04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5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305 от 22.05.2023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22.05.2023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76 от 22.05.2023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233 982,16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4 881,02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339 от 26.05.2023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26.05.2023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82 от 26.05.2023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righ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89 426,44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1 025,07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341 от 30.05.2023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30.05.2023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28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Отпускные за май 2023 по реестру 85 от 30.05.2023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1 506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757,35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18 781,29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269 от 26.05.2023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26.05.2023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28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ЕНП (НДФЛ) за период с 23 апреля по 22 мая 2023 года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523 435,00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1 711,06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5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382 от 26.06.2023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27.06.2023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ЕНП (НДФЛ) за период с 23 мая по 22 июня 2023 года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1 296 744,00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2 959,57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373 от 26.06.2023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27.06.2023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ЕНП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(страховые взносы) с зарплаты за 05.2023 года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2 049 390,59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10 778,38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470"/>
        </w:trPr>
        <w:tc>
          <w:tcPr>
            <w:tcW w:w="1267" w:type="dxa"/>
            <w:shd w:val="clear" w:color="auto" w:fill="FFFFFF"/>
          </w:tcPr>
          <w:p w:rsidR="00D33ECD" w:rsidRPr="00D33ECD" w:rsidP="001D1B0F">
            <w:pPr>
              <w:widowControl w:val="0"/>
              <w:spacing w:line="230" w:lineRule="exact"/>
              <w:ind w:right="2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364 от 07.06.2023</w:t>
            </w:r>
          </w:p>
        </w:tc>
        <w:tc>
          <w:tcPr>
            <w:tcW w:w="1358" w:type="dxa"/>
            <w:shd w:val="clear" w:color="auto" w:fill="FFFFFF"/>
          </w:tcPr>
          <w:p w:rsidR="00D33ECD" w:rsidRPr="00D33ECD" w:rsidP="001D1B0F">
            <w:pPr>
              <w:widowControl w:val="0"/>
              <w:spacing w:line="180" w:lineRule="exact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07.06.2023</w:t>
            </w:r>
          </w:p>
        </w:tc>
        <w:tc>
          <w:tcPr>
            <w:tcW w:w="3888" w:type="dxa"/>
            <w:shd w:val="clear" w:color="auto" w:fill="FFFFFF"/>
          </w:tcPr>
          <w:p w:rsidR="00D33ECD" w:rsidRPr="00D33ECD" w:rsidP="001D1B0F">
            <w:pPr>
              <w:widowControl w:val="0"/>
              <w:spacing w:line="233" w:lineRule="exact"/>
              <w:ind w:left="12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Стр.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взносы на обязат.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страх.от несч.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случ. на произв. и проф.</w:t>
            </w:r>
            <w:r w:rsidR="00157F97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забол. на з/п за 05.2023г</w:t>
            </w:r>
          </w:p>
        </w:tc>
        <w:tc>
          <w:tcPr>
            <w:tcW w:w="1320" w:type="dxa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ind w:right="120"/>
              <w:jc w:val="right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8 171,86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right="1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43,11</w:t>
            </w:r>
          </w:p>
        </w:tc>
      </w:tr>
      <w:tr w:rsidTr="00286F7D">
        <w:tblPrEx>
          <w:tblW w:w="0" w:type="auto"/>
          <w:tblInd w:w="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254"/>
        </w:trPr>
        <w:tc>
          <w:tcPr>
            <w:tcW w:w="7833" w:type="dxa"/>
            <w:gridSpan w:val="4"/>
            <w:shd w:val="clear" w:color="auto" w:fill="FFFFFF"/>
          </w:tcPr>
          <w:p w:rsidR="00D33ECD" w:rsidRPr="00D33ECD" w:rsidP="00D33ECD">
            <w:pPr>
              <w:widowControl w:val="0"/>
              <w:spacing w:line="180" w:lineRule="exact"/>
              <w:ind w:right="100"/>
              <w:jc w:val="right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546" w:type="dxa"/>
            <w:shd w:val="clear" w:color="auto" w:fill="FFFFFF"/>
          </w:tcPr>
          <w:p w:rsidR="00D33ECD" w:rsidRPr="00D33ECD" w:rsidP="00157F97">
            <w:pPr>
              <w:widowControl w:val="0"/>
              <w:spacing w:line="180" w:lineRule="exact"/>
              <w:ind w:left="220" w:firstLine="460"/>
              <w:jc w:val="center"/>
              <w:rPr>
                <w:spacing w:val="1"/>
                <w:sz w:val="20"/>
                <w:szCs w:val="20"/>
                <w:lang w:eastAsia="ru-RU"/>
              </w:rPr>
            </w:pPr>
            <w:r w:rsidRPr="00D33ECD">
              <w:rPr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46 749,42</w:t>
            </w:r>
          </w:p>
        </w:tc>
      </w:tr>
    </w:tbl>
    <w:p w:rsidR="005B1464" w:rsidP="0031679A">
      <w:pPr>
        <w:ind w:firstLine="540"/>
        <w:jc w:val="both"/>
        <w:rPr>
          <w:sz w:val="28"/>
          <w:szCs w:val="28"/>
        </w:rPr>
      </w:pPr>
    </w:p>
    <w:p w:rsidR="0071127C" w:rsidRPr="0071127C" w:rsidP="0029121B">
      <w:pPr>
        <w:pStyle w:val="10"/>
        <w:shd w:val="clear" w:color="auto" w:fill="auto"/>
        <w:spacing w:before="0" w:after="0" w:line="240" w:lineRule="auto"/>
        <w:ind w:left="2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03CE9">
        <w:rPr>
          <w:sz w:val="28"/>
          <w:szCs w:val="28"/>
        </w:rPr>
        <w:t xml:space="preserve">должностным лицом Учреждения </w:t>
      </w:r>
      <w:r>
        <w:rPr>
          <w:sz w:val="28"/>
          <w:szCs w:val="28"/>
        </w:rPr>
        <w:t xml:space="preserve">допущено </w:t>
      </w:r>
      <w:r w:rsidR="0029121B">
        <w:rPr>
          <w:sz w:val="28"/>
          <w:szCs w:val="28"/>
        </w:rPr>
        <w:t xml:space="preserve">нецелевое использование денежных средств в размере </w:t>
      </w:r>
      <w:r w:rsidR="00E237B0">
        <w:rPr>
          <w:sz w:val="28"/>
          <w:szCs w:val="28"/>
        </w:rPr>
        <w:t>46 749</w:t>
      </w:r>
      <w:r w:rsidRPr="0071127C">
        <w:rPr>
          <w:sz w:val="28"/>
          <w:szCs w:val="28"/>
        </w:rPr>
        <w:t>,</w:t>
      </w:r>
      <w:r w:rsidR="00E237B0">
        <w:rPr>
          <w:sz w:val="28"/>
          <w:szCs w:val="28"/>
        </w:rPr>
        <w:t>42</w:t>
      </w:r>
      <w:r w:rsidR="0029121B">
        <w:rPr>
          <w:sz w:val="28"/>
          <w:szCs w:val="28"/>
        </w:rPr>
        <w:t xml:space="preserve"> рублей.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>Фетисова Ю.В. замещает должность директора Учреждения на основании трудового договора</w:t>
      </w:r>
      <w:r w:rsidR="006702E4">
        <w:rPr>
          <w:sz w:val="28"/>
          <w:szCs w:val="28"/>
        </w:rPr>
        <w:t xml:space="preserve"> от 14.12.2021 № 103, распоряжения администрации города Нижневартовска от 14.12.2021 №760-лс «О назначении». </w:t>
      </w:r>
    </w:p>
    <w:p w:rsidR="00D03CE9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подпунктам «а» и «г» пункта 2.4 трудового договора от 14.12.2021№ 103 директор Учреждения обязан: </w:t>
      </w:r>
    </w:p>
    <w:p w:rsidR="006702E4" w:rsidP="00922388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требования законодательства Российской Федерации, н</w:t>
      </w:r>
      <w:r>
        <w:rPr>
          <w:sz w:val="28"/>
          <w:szCs w:val="28"/>
        </w:rPr>
        <w:t>ормативно правовых актов органов местного самоуправления города Нижневартовска, локальных нормативных актов и трудового договора от 14.12.2021 № 103; обеспечивать целевое использование денежных средств Учреждения.</w:t>
      </w:r>
    </w:p>
    <w:p w:rsidR="00366891" w:rsidP="00567E91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 xml:space="preserve">В ходе рассмотрения дела установлен факт </w:t>
      </w:r>
      <w:r w:rsidRPr="00366891">
        <w:rPr>
          <w:sz w:val="28"/>
          <w:szCs w:val="28"/>
        </w:rPr>
        <w:t>нецелево</w:t>
      </w:r>
      <w:r>
        <w:rPr>
          <w:sz w:val="28"/>
          <w:szCs w:val="28"/>
        </w:rPr>
        <w:t>го</w:t>
      </w:r>
      <w:r w:rsidRPr="0036689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я бюджетных средств, выразившийся </w:t>
      </w:r>
      <w:r w:rsidRPr="00366891">
        <w:rPr>
          <w:sz w:val="28"/>
          <w:szCs w:val="28"/>
        </w:rPr>
        <w:t xml:space="preserve">в направлении полученных из бюджета города Нижневартовска средств субсидии, предоставленной на финансовое обеспечение выполнения муниципального задания на оказание муниципальных услуг (выполнение </w:t>
      </w:r>
      <w:r w:rsidRPr="00366891">
        <w:rPr>
          <w:sz w:val="28"/>
          <w:szCs w:val="28"/>
        </w:rPr>
        <w:t>работ) на 2023 год, на цели, не соответствующие целям, предусмотренным в соглашении № 1/2023/504, на основании которого бюджетные средства были предоставлены</w:t>
      </w:r>
      <w:r>
        <w:rPr>
          <w:sz w:val="28"/>
          <w:szCs w:val="28"/>
        </w:rPr>
        <w:t>.</w:t>
      </w:r>
    </w:p>
    <w:p w:rsidR="006702E4" w:rsidP="000813DF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3D4B8D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Федерации об административных правонарушениях </w:t>
      </w:r>
      <w:r w:rsidRPr="004A4F20">
        <w:rPr>
          <w:sz w:val="28"/>
          <w:szCs w:val="28"/>
        </w:rPr>
        <w:t>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</w:t>
      </w:r>
      <w:r w:rsidRPr="004A4F20">
        <w:rPr>
          <w:sz w:val="28"/>
          <w:szCs w:val="28"/>
        </w:rPr>
        <w:t xml:space="preserve">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 xml:space="preserve">бюджетной системы Российской </w:t>
      </w:r>
      <w:r w:rsidRPr="00A47A0A">
        <w:rPr>
          <w:sz w:val="28"/>
          <w:szCs w:val="28"/>
        </w:rPr>
        <w:t>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должностных </w:t>
      </w:r>
      <w:r w:rsidRPr="00D77B12">
        <w:rPr>
          <w:sz w:val="28"/>
          <w:szCs w:val="28"/>
        </w:rPr>
        <w:t xml:space="preserve">лиц </w:t>
      </w:r>
      <w:r w:rsidRPr="00DF5FF6" w:rsidR="00DF5FF6">
        <w:rPr>
          <w:sz w:val="28"/>
          <w:szCs w:val="28"/>
        </w:rPr>
        <w:t xml:space="preserve">в размере от двадцати тысяч до пятидесяти тысяч рублей или дисквалификацию на </w:t>
      </w:r>
      <w:r w:rsidR="00DF5FF6">
        <w:rPr>
          <w:sz w:val="28"/>
          <w:szCs w:val="28"/>
        </w:rPr>
        <w:t>срок от одного года до трех лет.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>Данное правонарушение характеризуе</w:t>
      </w:r>
      <w:r w:rsidRPr="00D77B12">
        <w:rPr>
          <w:sz w:val="28"/>
          <w:szCs w:val="28"/>
        </w:rPr>
        <w:t xml:space="preserve">тся совершением конкретной платежно-расчетной </w:t>
      </w:r>
      <w:r w:rsidRPr="00156F96">
        <w:rPr>
          <w:sz w:val="28"/>
          <w:szCs w:val="28"/>
        </w:rPr>
        <w:t xml:space="preserve">операции по нецелевому расходованию бюджетных средств и завершенностью в момент осуществления операции.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 xml:space="preserve">Все собранные по делу об административном правонарушении доказательства, представленные административным </w:t>
      </w:r>
      <w:r w:rsidRPr="00156F96">
        <w:rPr>
          <w:sz w:val="28"/>
          <w:szCs w:val="28"/>
        </w:rPr>
        <w:t>органом, являются допустимыми, достоверными и достаточными в соответствии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</w:t>
      </w:r>
      <w:r w:rsidR="00DF5FF6">
        <w:rPr>
          <w:sz w:val="28"/>
          <w:szCs w:val="28"/>
        </w:rPr>
        <w:t>должностного</w:t>
      </w:r>
      <w:r w:rsidRPr="00156F96">
        <w:rPr>
          <w:sz w:val="28"/>
          <w:szCs w:val="28"/>
        </w:rPr>
        <w:t xml:space="preserve"> лица </w:t>
      </w:r>
      <w:r w:rsidR="00DF5FF6">
        <w:rPr>
          <w:sz w:val="28"/>
          <w:szCs w:val="28"/>
        </w:rPr>
        <w:t xml:space="preserve">Фетисовой Ю.В. </w:t>
      </w:r>
      <w:r w:rsidRPr="00156F96">
        <w:rPr>
          <w:sz w:val="28"/>
          <w:szCs w:val="28"/>
        </w:rPr>
        <w:t>в совер</w:t>
      </w:r>
      <w:r w:rsidRPr="00156F96">
        <w:rPr>
          <w:sz w:val="28"/>
          <w:szCs w:val="28"/>
        </w:rPr>
        <w:t>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>Оценивая доказательства в их совокупности, мировой судья квалифицирует</w:t>
      </w:r>
      <w:r w:rsidR="00DF5FF6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3460BE" w:rsidP="00346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DF5FF6">
        <w:rPr>
          <w:sz w:val="28"/>
          <w:szCs w:val="28"/>
        </w:rPr>
        <w:t xml:space="preserve">смягчающих и </w:t>
      </w:r>
      <w:r>
        <w:rPr>
          <w:sz w:val="28"/>
          <w:szCs w:val="28"/>
        </w:rPr>
        <w:t xml:space="preserve">отягчающих </w:t>
      </w:r>
      <w:r>
        <w:rPr>
          <w:sz w:val="28"/>
          <w:szCs w:val="28"/>
        </w:rPr>
        <w:t>административную отве</w:t>
      </w:r>
      <w:r w:rsidR="00DF5FF6">
        <w:rPr>
          <w:sz w:val="28"/>
          <w:szCs w:val="28"/>
        </w:rPr>
        <w:t>тственность, предусмотренных статьями 4.2 и</w:t>
      </w:r>
      <w:r>
        <w:rPr>
          <w:sz w:val="28"/>
          <w:szCs w:val="28"/>
        </w:rPr>
        <w:t xml:space="preserve"> 4.3 КоАП РФ, мировым судьей не установлено. </w:t>
      </w: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Решая вопрос о назначении меры ответственности, мировой судья учитывает следующее.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В соответствии с частью 1 статьи 4.1.1 Кодекса Российской Федер</w:t>
      </w:r>
      <w:r w:rsidRPr="00FE7663">
        <w:rPr>
          <w:sz w:val="28"/>
          <w:szCs w:val="28"/>
        </w:rPr>
        <w:t xml:space="preserve">ации об административных правонарушениях </w:t>
      </w:r>
      <w:r>
        <w:rPr>
          <w:sz w:val="28"/>
          <w:szCs w:val="28"/>
        </w:rPr>
        <w:t>з</w:t>
      </w:r>
      <w:r w:rsidRPr="00C333B8">
        <w:rPr>
          <w:sz w:val="28"/>
          <w:szCs w:val="28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</w:t>
      </w:r>
      <w:r w:rsidRPr="00C333B8">
        <w:rPr>
          <w:sz w:val="28"/>
          <w:szCs w:val="28"/>
        </w:rPr>
        <w:t>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</w:t>
      </w:r>
      <w:r w:rsidRPr="00C333B8">
        <w:rPr>
          <w:sz w:val="28"/>
          <w:szCs w:val="28"/>
        </w:rPr>
        <w:t>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Согласно части 2 статьи 3.4 Кодекса Российской Федерации об административных правонарушениях предупреждение </w:t>
      </w:r>
      <w:r w:rsidRPr="00FE7663">
        <w:rPr>
          <w:sz w:val="28"/>
          <w:szCs w:val="28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</w:t>
      </w:r>
      <w:r w:rsidRPr="00FE7663">
        <w:rPr>
          <w:sz w:val="28"/>
          <w:szCs w:val="28"/>
        </w:rPr>
        <w:t>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C54392" w:rsidRPr="00FE7663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По смыслу взаимосвязанных положений части 2 статьи 3.4</w:t>
      </w:r>
      <w:r w:rsidRPr="00FE7663">
        <w:rPr>
          <w:sz w:val="28"/>
          <w:szCs w:val="28"/>
        </w:rPr>
        <w:t xml:space="preserve"> и части 1 статьи 4.1.1 Кодекса Российской Федерации об административных правонарушениях, в отсутствие совокупности всех упомянутых обстоятельств (условий применения административного наказания в виде предупреждения) возможность замены административного на</w:t>
      </w:r>
      <w:r w:rsidRPr="00FE7663">
        <w:rPr>
          <w:sz w:val="28"/>
          <w:szCs w:val="28"/>
        </w:rPr>
        <w:t>казания в виде административного штрафа на предупреждение не допускается.</w:t>
      </w:r>
    </w:p>
    <w:p w:rsidR="00C54392" w:rsidP="00C54392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Согласно части 2 статьи 4.1.1 Кодекса Российской Федерации об административных правонарушениях административное наказание в виде административного штрафа не подлежит замене на предуп</w:t>
      </w:r>
      <w:r w:rsidRPr="00FE7663">
        <w:rPr>
          <w:sz w:val="28"/>
          <w:szCs w:val="28"/>
        </w:rPr>
        <w:t xml:space="preserve">реждение в случае совершения административного правонарушения, предусмотренного </w:t>
      </w:r>
      <w:r w:rsidRPr="00C333B8">
        <w:rPr>
          <w:sz w:val="28"/>
          <w:szCs w:val="28"/>
        </w:rPr>
        <w:t>статьями 13.15, 13.37, 14.31 - 14.33, 14.56, 15.21, 15.27.3, 15.30, 19.3, 19.5, 19.5.1, 19.6, 19.8 - 19.8.2, 19.23, частями 2 и 3 статьи 19.27, статьями 19.28, 19.29, 19.30, 19</w:t>
      </w:r>
      <w:r w:rsidRPr="00C333B8">
        <w:rPr>
          <w:sz w:val="28"/>
          <w:szCs w:val="28"/>
        </w:rPr>
        <w:t>.33, 19.34, 20.3, частью 2 статьи 20.28 настоящего Кодекса.</w:t>
      </w:r>
    </w:p>
    <w:p w:rsidR="00FE7663" w:rsidRPr="00FE7663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>Таким образом, административное правонарушение, предусмотренное статьей 15.14 Кодекса Российской Федерации об административных правонарушениях, не отнесено к правонарушениям, при совершении которы</w:t>
      </w:r>
      <w:r w:rsidRPr="00FE7663">
        <w:rPr>
          <w:sz w:val="28"/>
          <w:szCs w:val="28"/>
        </w:rPr>
        <w:t xml:space="preserve">х </w:t>
      </w:r>
      <w:r w:rsidRPr="00FE7663">
        <w:rPr>
          <w:sz w:val="28"/>
          <w:szCs w:val="28"/>
        </w:rPr>
        <w:t>недопустима замена административного штрафа на предупреждение, что позволяет суду оценивать имеющие значение для дела обстоятельства в каждом конкретном случае по своему внутреннему убеждению.</w:t>
      </w:r>
    </w:p>
    <w:p w:rsidR="00DF5FF6" w:rsidP="00FE7663">
      <w:pPr>
        <w:ind w:firstLine="540"/>
        <w:jc w:val="both"/>
        <w:rPr>
          <w:sz w:val="28"/>
          <w:szCs w:val="28"/>
        </w:rPr>
      </w:pPr>
      <w:r w:rsidRPr="00FE7663">
        <w:rPr>
          <w:sz w:val="28"/>
          <w:szCs w:val="28"/>
        </w:rPr>
        <w:t xml:space="preserve">Доказательства, свидетельствующие о том, что директор </w:t>
      </w:r>
      <w:r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ния Фетисова Ю.В. </w:t>
      </w:r>
      <w:r w:rsidRPr="00FE7663">
        <w:rPr>
          <w:sz w:val="28"/>
          <w:szCs w:val="28"/>
        </w:rPr>
        <w:t>ранее привлекалась к административной ответственности, в материалах дела отсутствуют.</w:t>
      </w:r>
    </w:p>
    <w:p w:rsidR="00FE7663" w:rsidRPr="00B2011E" w:rsidP="00FE766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011E">
        <w:rPr>
          <w:color w:val="000000"/>
          <w:sz w:val="28"/>
          <w:szCs w:val="28"/>
        </w:rPr>
        <w:t>Учитыв</w:t>
      </w:r>
      <w:r>
        <w:rPr>
          <w:color w:val="000000"/>
          <w:sz w:val="28"/>
          <w:szCs w:val="28"/>
        </w:rPr>
        <w:t>ая данное обстоятельство, а так</w:t>
      </w:r>
      <w:r w:rsidRPr="00B2011E">
        <w:rPr>
          <w:color w:val="000000"/>
          <w:sz w:val="28"/>
          <w:szCs w:val="28"/>
        </w:rPr>
        <w:t xml:space="preserve">же то, что совершенное </w:t>
      </w:r>
      <w:r>
        <w:rPr>
          <w:color w:val="000000"/>
          <w:sz w:val="28"/>
          <w:szCs w:val="28"/>
        </w:rPr>
        <w:t xml:space="preserve">должностным </w:t>
      </w:r>
      <w:r w:rsidRPr="00B2011E">
        <w:rPr>
          <w:color w:val="000000"/>
          <w:sz w:val="28"/>
          <w:szCs w:val="28"/>
        </w:rPr>
        <w:t xml:space="preserve">лицом деяние не повлекло причинения вреда или угрозы причинения вреда жизни и </w:t>
      </w:r>
      <w:r w:rsidRPr="00B2011E">
        <w:rPr>
          <w:color w:val="000000"/>
          <w:sz w:val="28"/>
          <w:szCs w:val="28"/>
        </w:rPr>
        <w:t>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</w:t>
      </w:r>
      <w:r w:rsidRPr="00B2011E">
        <w:rPr>
          <w:color w:val="000000"/>
          <w:sz w:val="28"/>
          <w:szCs w:val="28"/>
        </w:rPr>
        <w:t>а, имущественного ущерба, судья находит возможным замену наказания в виде штрафа предупреждением.</w:t>
      </w:r>
    </w:p>
    <w:p w:rsidR="00C5576E" w:rsidP="00C5576E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 w:rsidR="008819D2">
        <w:rPr>
          <w:sz w:val="28"/>
          <w:szCs w:val="28"/>
        </w:rPr>
        <w:t xml:space="preserve"> </w:t>
      </w:r>
      <w:r w:rsidR="00FE7663">
        <w:rPr>
          <w:sz w:val="28"/>
          <w:szCs w:val="28"/>
          <w:lang w:val="ru-RU"/>
        </w:rPr>
        <w:t xml:space="preserve">4.1.1, </w:t>
      </w:r>
      <w:r w:rsidR="008819D2">
        <w:rPr>
          <w:sz w:val="28"/>
          <w:szCs w:val="28"/>
        </w:rPr>
        <w:t>29.9, 29.10</w:t>
      </w:r>
      <w:r w:rsidR="008819D2">
        <w:rPr>
          <w:sz w:val="28"/>
          <w:szCs w:val="28"/>
          <w:lang w:val="ru-RU"/>
        </w:rPr>
        <w:t xml:space="preserve">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4E75BD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DF5FF6" w:rsidRPr="00DF5FF6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директора </w:t>
      </w:r>
      <w:r w:rsidR="0096486A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автономно</w:t>
      </w:r>
      <w:r>
        <w:rPr>
          <w:sz w:val="28"/>
          <w:szCs w:val="28"/>
          <w:lang w:val="ru-RU"/>
        </w:rPr>
        <w:t>го</w:t>
      </w:r>
      <w:r w:rsidR="0096486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96486A">
        <w:rPr>
          <w:sz w:val="28"/>
          <w:szCs w:val="28"/>
          <w:lang w:val="ru-RU"/>
        </w:rPr>
        <w:t xml:space="preserve"> дополнительного образования города Нижневартовска «Детская музыкальная школа имени Юрия Дмитриевича Кузнецова» </w:t>
      </w:r>
      <w:r>
        <w:rPr>
          <w:sz w:val="28"/>
          <w:szCs w:val="28"/>
          <w:lang w:val="ru-RU"/>
        </w:rPr>
        <w:t xml:space="preserve">Фетисову Юлию Владимировну </w:t>
      </w:r>
      <w:r w:rsidRPr="008E7F97" w:rsidR="00C5576E">
        <w:rPr>
          <w:sz w:val="28"/>
          <w:szCs w:val="28"/>
        </w:rPr>
        <w:t>признать виновн</w:t>
      </w:r>
      <w:r>
        <w:rPr>
          <w:sz w:val="28"/>
          <w:szCs w:val="28"/>
          <w:lang w:val="ru-RU"/>
        </w:rPr>
        <w:t>ой</w:t>
      </w:r>
      <w:r w:rsidR="00C5576E">
        <w:rPr>
          <w:sz w:val="28"/>
          <w:szCs w:val="28"/>
          <w:lang w:val="ru-RU"/>
        </w:rPr>
        <w:t xml:space="preserve"> </w:t>
      </w:r>
      <w:r w:rsidRPr="008E7F97" w:rsidR="00C5576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067EA3">
        <w:rPr>
          <w:sz w:val="28"/>
          <w:szCs w:val="28"/>
        </w:rPr>
        <w:t>ст.1</w:t>
      </w:r>
      <w:r w:rsidR="00067EA3">
        <w:rPr>
          <w:sz w:val="28"/>
          <w:szCs w:val="28"/>
          <w:lang w:val="ru-RU"/>
        </w:rPr>
        <w:t>5</w:t>
      </w:r>
      <w:r w:rsidR="00067EA3">
        <w:rPr>
          <w:sz w:val="28"/>
          <w:szCs w:val="28"/>
        </w:rPr>
        <w:t>.</w:t>
      </w:r>
      <w:r w:rsidR="00067EA3">
        <w:rPr>
          <w:sz w:val="28"/>
          <w:szCs w:val="28"/>
          <w:lang w:val="ru-RU"/>
        </w:rPr>
        <w:t>14</w:t>
      </w:r>
      <w:r w:rsidRPr="008E7F97" w:rsidR="00C5576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5576E">
        <w:rPr>
          <w:sz w:val="28"/>
          <w:szCs w:val="28"/>
        </w:rPr>
        <w:t>,</w:t>
      </w:r>
      <w:r w:rsidRPr="008E7F97" w:rsidR="00C5576E">
        <w:rPr>
          <w:sz w:val="28"/>
          <w:szCs w:val="28"/>
        </w:rPr>
        <w:t xml:space="preserve"> и назначить наказание в виде </w:t>
      </w:r>
      <w:r>
        <w:rPr>
          <w:sz w:val="28"/>
          <w:szCs w:val="28"/>
          <w:lang w:val="ru-RU"/>
        </w:rPr>
        <w:t xml:space="preserve">предупреждения. </w:t>
      </w:r>
    </w:p>
    <w:p w:rsidR="00C5576E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</w:t>
      </w:r>
      <w:r w:rsidRPr="008E7F97">
        <w:rPr>
          <w:sz w:val="28"/>
          <w:szCs w:val="28"/>
        </w:rPr>
        <w:t>з мирового судью, вынесшего постановление.</w:t>
      </w:r>
    </w:p>
    <w:p w:rsidR="004E75BD" w:rsidP="00C5576E">
      <w:pPr>
        <w:ind w:firstLine="540"/>
        <w:jc w:val="both"/>
        <w:rPr>
          <w:sz w:val="28"/>
          <w:szCs w:val="28"/>
        </w:rPr>
      </w:pPr>
    </w:p>
    <w:p w:rsidR="00C33246" w:rsidRPr="008E7F97" w:rsidP="00C5576E">
      <w:pPr>
        <w:ind w:firstLine="540"/>
        <w:jc w:val="both"/>
        <w:rPr>
          <w:sz w:val="28"/>
          <w:szCs w:val="28"/>
        </w:rPr>
      </w:pPr>
    </w:p>
    <w:p w:rsidR="00286F7D" w:rsidP="00286F7D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4E7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7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CE6741" w:rsidR="00CE6741">
      <w:rPr>
        <w:noProof/>
        <w:lang w:val="ru-RU"/>
      </w:rPr>
      <w:t>5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64DA1"/>
    <w:rsid w:val="00067EA3"/>
    <w:rsid w:val="000778DA"/>
    <w:rsid w:val="000813DF"/>
    <w:rsid w:val="000A0953"/>
    <w:rsid w:val="000B08FB"/>
    <w:rsid w:val="001046B4"/>
    <w:rsid w:val="001060FA"/>
    <w:rsid w:val="00134AD2"/>
    <w:rsid w:val="00156F96"/>
    <w:rsid w:val="00157F97"/>
    <w:rsid w:val="0017032E"/>
    <w:rsid w:val="00177927"/>
    <w:rsid w:val="0018574D"/>
    <w:rsid w:val="001A3088"/>
    <w:rsid w:val="001D1B0F"/>
    <w:rsid w:val="001E22DF"/>
    <w:rsid w:val="001F15C4"/>
    <w:rsid w:val="001F5682"/>
    <w:rsid w:val="00204F09"/>
    <w:rsid w:val="0022382F"/>
    <w:rsid w:val="002344EA"/>
    <w:rsid w:val="00280652"/>
    <w:rsid w:val="00286F7D"/>
    <w:rsid w:val="0029121B"/>
    <w:rsid w:val="00295031"/>
    <w:rsid w:val="00296D9E"/>
    <w:rsid w:val="0029731F"/>
    <w:rsid w:val="002B6782"/>
    <w:rsid w:val="002E7FF2"/>
    <w:rsid w:val="002F35AB"/>
    <w:rsid w:val="0030473F"/>
    <w:rsid w:val="0031679A"/>
    <w:rsid w:val="0032200A"/>
    <w:rsid w:val="003231FA"/>
    <w:rsid w:val="003300E8"/>
    <w:rsid w:val="00331A77"/>
    <w:rsid w:val="00344637"/>
    <w:rsid w:val="003452AE"/>
    <w:rsid w:val="003460BE"/>
    <w:rsid w:val="0035103B"/>
    <w:rsid w:val="00351281"/>
    <w:rsid w:val="00366891"/>
    <w:rsid w:val="003B25D6"/>
    <w:rsid w:val="003D4B8D"/>
    <w:rsid w:val="00407BE7"/>
    <w:rsid w:val="00430C9E"/>
    <w:rsid w:val="00432360"/>
    <w:rsid w:val="0045263D"/>
    <w:rsid w:val="00474236"/>
    <w:rsid w:val="00480606"/>
    <w:rsid w:val="00496DA4"/>
    <w:rsid w:val="004A4F20"/>
    <w:rsid w:val="004C1435"/>
    <w:rsid w:val="004D6EB0"/>
    <w:rsid w:val="004D79CB"/>
    <w:rsid w:val="004E75BD"/>
    <w:rsid w:val="005321B6"/>
    <w:rsid w:val="005343E1"/>
    <w:rsid w:val="00566599"/>
    <w:rsid w:val="00567E91"/>
    <w:rsid w:val="00597B8C"/>
    <w:rsid w:val="005B1464"/>
    <w:rsid w:val="005D3608"/>
    <w:rsid w:val="00626B76"/>
    <w:rsid w:val="0063016B"/>
    <w:rsid w:val="00644BA6"/>
    <w:rsid w:val="00665703"/>
    <w:rsid w:val="006702E4"/>
    <w:rsid w:val="006869B2"/>
    <w:rsid w:val="006A4332"/>
    <w:rsid w:val="006C3BB7"/>
    <w:rsid w:val="0071127C"/>
    <w:rsid w:val="00715E0A"/>
    <w:rsid w:val="00724CF8"/>
    <w:rsid w:val="0073185E"/>
    <w:rsid w:val="00740A86"/>
    <w:rsid w:val="00747327"/>
    <w:rsid w:val="00762279"/>
    <w:rsid w:val="00771971"/>
    <w:rsid w:val="0082151B"/>
    <w:rsid w:val="008819D2"/>
    <w:rsid w:val="008D5108"/>
    <w:rsid w:val="008D518F"/>
    <w:rsid w:val="008E135A"/>
    <w:rsid w:val="008E7F97"/>
    <w:rsid w:val="00905801"/>
    <w:rsid w:val="00922388"/>
    <w:rsid w:val="0096346F"/>
    <w:rsid w:val="0096486A"/>
    <w:rsid w:val="00964D94"/>
    <w:rsid w:val="009717E3"/>
    <w:rsid w:val="009839CD"/>
    <w:rsid w:val="009B13D1"/>
    <w:rsid w:val="009C4536"/>
    <w:rsid w:val="00A00376"/>
    <w:rsid w:val="00A050D9"/>
    <w:rsid w:val="00A2306F"/>
    <w:rsid w:val="00A33105"/>
    <w:rsid w:val="00A47A0A"/>
    <w:rsid w:val="00A53AF3"/>
    <w:rsid w:val="00A5679E"/>
    <w:rsid w:val="00A8467B"/>
    <w:rsid w:val="00B2011E"/>
    <w:rsid w:val="00B4656C"/>
    <w:rsid w:val="00B76345"/>
    <w:rsid w:val="00B77C36"/>
    <w:rsid w:val="00B84812"/>
    <w:rsid w:val="00B870BE"/>
    <w:rsid w:val="00BA0DA9"/>
    <w:rsid w:val="00BA5F66"/>
    <w:rsid w:val="00BB7BE5"/>
    <w:rsid w:val="00BC3322"/>
    <w:rsid w:val="00BC425F"/>
    <w:rsid w:val="00C1436B"/>
    <w:rsid w:val="00C179C3"/>
    <w:rsid w:val="00C23632"/>
    <w:rsid w:val="00C33246"/>
    <w:rsid w:val="00C333B8"/>
    <w:rsid w:val="00C54392"/>
    <w:rsid w:val="00C5576E"/>
    <w:rsid w:val="00C63126"/>
    <w:rsid w:val="00C73ADD"/>
    <w:rsid w:val="00CA55B9"/>
    <w:rsid w:val="00CA63F2"/>
    <w:rsid w:val="00CE6741"/>
    <w:rsid w:val="00D022C4"/>
    <w:rsid w:val="00D03CE9"/>
    <w:rsid w:val="00D04BE9"/>
    <w:rsid w:val="00D06801"/>
    <w:rsid w:val="00D33ECD"/>
    <w:rsid w:val="00D469EF"/>
    <w:rsid w:val="00D5064F"/>
    <w:rsid w:val="00D628EB"/>
    <w:rsid w:val="00D7270B"/>
    <w:rsid w:val="00D77B12"/>
    <w:rsid w:val="00D8056D"/>
    <w:rsid w:val="00D829A7"/>
    <w:rsid w:val="00D83162"/>
    <w:rsid w:val="00D96AF7"/>
    <w:rsid w:val="00DC2BBD"/>
    <w:rsid w:val="00DE2FE7"/>
    <w:rsid w:val="00DF5FF6"/>
    <w:rsid w:val="00E05767"/>
    <w:rsid w:val="00E12D47"/>
    <w:rsid w:val="00E237B0"/>
    <w:rsid w:val="00E23F7F"/>
    <w:rsid w:val="00E51B82"/>
    <w:rsid w:val="00E63FD2"/>
    <w:rsid w:val="00E6414E"/>
    <w:rsid w:val="00E8745E"/>
    <w:rsid w:val="00EB5988"/>
    <w:rsid w:val="00EE7CFC"/>
    <w:rsid w:val="00EF3236"/>
    <w:rsid w:val="00F23C84"/>
    <w:rsid w:val="00F61BD3"/>
    <w:rsid w:val="00F61F92"/>
    <w:rsid w:val="00F62323"/>
    <w:rsid w:val="00F63C23"/>
    <w:rsid w:val="00F804FC"/>
    <w:rsid w:val="00FB0469"/>
    <w:rsid w:val="00FD0F98"/>
    <w:rsid w:val="00FD407C"/>
    <w:rsid w:val="00FE76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paragraph" w:styleId="BlockText">
    <w:name w:val="Block Text"/>
    <w:basedOn w:val="Normal"/>
    <w:rsid w:val="009839CD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623E-D191-416E-86AB-068034E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